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Style w:val="4"/>
          <w:rFonts w:hint="eastAsia" w:ascii="仿宋_GB2312" w:hAnsi="仿宋_GB2312" w:eastAsia="仿宋_GB2312" w:cs="仿宋_GB2312"/>
          <w:b/>
          <w:i w:val="0"/>
          <w:caps w:val="0"/>
          <w:color w:val="1B1B1B"/>
          <w:spacing w:val="0"/>
          <w:sz w:val="28"/>
          <w:szCs w:val="28"/>
          <w:bdr w:val="none" w:color="auto" w:sz="0" w:space="0"/>
        </w:rPr>
        <w:t>中国共产党问责条例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第一条 为全面从严治党，规范和强化党的问责工作，根据《中国共产党章程》，制定本条例。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第三条 党的问责工作应当坚持的原则：依规依纪、实事求是，失责必问、问责必严，惩前毖后、治病救人，分级负责、层层落实责任。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第四条 党的问责工作是由党组织按照职责权限，追究在党的建设和党的事业中失职失责党组织和党的领导干部的主体责任、监督责任和领导责任。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问责对象是各级党委（党组）、党的工作部门及其领导成员，各级纪委（纪检组）及其领导成员，重点是主要负责人。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第五条 问责应当分清责任。党组织领导班子在职责范围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内负有全面领导责任，领导班子主要负责人和直接主管的班子成员承担主要领导责任，参与决策和工作的班子其他成员承担重要领导责任。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w:t>
      </w:r>
      <w:r>
        <w:rPr>
          <w:rStyle w:val="4"/>
          <w:rFonts w:hint="eastAsia" w:ascii="仿宋_GB2312" w:hAnsi="仿宋_GB2312" w:eastAsia="仿宋_GB2312" w:cs="仿宋_GB2312"/>
          <w:b/>
          <w:i w:val="0"/>
          <w:caps w:val="0"/>
          <w:color w:val="1B1B1B"/>
          <w:spacing w:val="0"/>
          <w:sz w:val="28"/>
          <w:szCs w:val="28"/>
          <w:bdr w:val="none" w:color="auto" w:sz="0" w:space="0"/>
        </w:rPr>
        <w:t>第六条 党组织和党的领导干部违反党章和其他党内法规，不履行或者不正确履行职责，有下列情形之一的，应当予以问责：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三）全面从严治党不力，主体责任、监督责任落实不到位，管党治党失之于宽松软，好人主义盛行、搞一团和气，不负责、不担当，党内监督乏力，该发现的问题没有发现，发现问题不报告不处置、不整改不问责，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（五）推进党风廉政建设和反腐败工作不坚决、不扎实，管辖范围内腐败蔓延势头没有得到有效遏制，损害群众利益的不正之风和腐败问题突出的；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（六）其他应当问责的失职失责情形。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第七条 对党组织的问责方式包括：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（一）检查。对履行职责不力、情节较轻的，应当责令其作出书面检查并切实整改。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（二）通报。对履行职责不力、情节较重的，应当责令整改，并在一定范围内通报。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（三）改组。对失职失责，严重违反党的纪律、本身又不能纠正的，应当予以改组。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对党的领导干部的问责方式包括：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（一）通报。对履行职责不力的，应当严肃批评，依规整改，并在一定范围内通报。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（二）诫勉。对失职失责、情节较轻的，应当以谈话或者书面方式进行诫勉。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（三）组织调整或者组织处理。对失职失责、情节较重，不适宜担任现职的，应当根据情况采取停职检查、调整职务、责令辞职、降职、免职等措施。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（四）纪律处分。对失职失责应当给予纪律处分的，依照《中国共产党纪律处分条例》追究纪律责任。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上述问责方式，可以单独使用，也可以合并使用。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lang w:val="en-US" w:eastAsia="zh-CN"/>
        </w:rPr>
        <w:t xml:space="preserve">   </w:t>
      </w:r>
      <w:bookmarkStart w:id="0" w:name="_GoBack"/>
      <w:bookmarkEnd w:id="0"/>
      <w:r>
        <w:rPr>
          <w:rFonts w:hint="eastAsia" w:ascii="仿宋_GB2312" w:hAnsi="仿宋_GB2312" w:eastAsia="仿宋_GB2312" w:cs="仿宋_GB2312"/>
          <w:b w:val="0"/>
          <w:i w:val="0"/>
          <w:caps w:val="0"/>
          <w:color w:val="1B1B1B"/>
          <w:spacing w:val="0"/>
          <w:sz w:val="28"/>
          <w:szCs w:val="28"/>
          <w:bdr w:val="none" w:color="auto" w:sz="0" w:space="0"/>
        </w:rPr>
        <w:t>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第十条 实行终身问责，对失职失责性质恶劣、后果严重的，不论其责任人是否调离转岗、提拔或者退休，都应当严肃问责。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第十一条 各省、自治区、直辖市党委，中央各部委，中央国家机关各部委党组（党委），可以根据本条例制定实施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第十二条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r>
        <w:rPr>
          <w:rFonts w:hint="eastAsia" w:ascii="仿宋_GB2312" w:hAnsi="仿宋_GB2312" w:eastAsia="仿宋_GB2312" w:cs="仿宋_GB2312"/>
          <w:b w:val="0"/>
          <w:i w:val="0"/>
          <w:caps w:val="0"/>
          <w:color w:val="1B1B1B"/>
          <w:spacing w:val="0"/>
          <w:sz w:val="28"/>
          <w:szCs w:val="28"/>
          <w:bdr w:val="none" w:color="auto" w:sz="0" w:space="0"/>
        </w:rPr>
        <w:t>　　第十三条 本条例自2016年7月8日起施行。此前发布的有关问责的规定，凡与本条例不一致的，按照本条例执行。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5" w:right="45" w:firstLine="0"/>
        <w:rPr>
          <w:rFonts w:hint="eastAsia" w:ascii="仿宋_GB2312" w:hAnsi="仿宋_GB2312" w:eastAsia="仿宋_GB2312" w:cs="仿宋_GB2312"/>
          <w:b w:val="0"/>
          <w:i w:val="0"/>
          <w:caps w:val="0"/>
          <w:color w:val="1B1B1B"/>
          <w:spacing w:val="0"/>
          <w:sz w:val="28"/>
          <w:szCs w:val="28"/>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5B8B体">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经典行书简">
    <w:panose1 w:val="02010609010101010101"/>
    <w:charset w:val="86"/>
    <w:family w:val="auto"/>
    <w:pitch w:val="default"/>
    <w:sig w:usb0="A1007AEF" w:usb1="F9DF7CFB" w:usb2="0000001E" w:usb3="00000000" w:csb0="2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45814"/>
    <w:rsid w:val="129A3992"/>
    <w:rsid w:val="385C292B"/>
    <w:rsid w:val="3AA458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2016-09-21T06:11:00Z</dcterms:created>
  <dc:creator>Liao</dc:creator>
  <cp:lastModifiedBy>Liao</cp:lastModifiedBy>
  <dcterms:modified xsi:type="dcterms:W3CDTF">2016-09-22T03:14:24Z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