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/>
        <w:jc w:val="center"/>
        <w:rPr>
          <w:sz w:val="28"/>
        </w:rPr>
      </w:pPr>
      <w:r>
        <w:rPr>
          <w:sz w:val="28"/>
        </w:rPr>
        <w:t>衢州学院服务大厅使用说明</w:t>
      </w:r>
    </w:p>
    <w:p>
      <w:pPr>
        <w:spacing w:line="360" w:lineRule="auto"/>
        <w:ind w:firstLine="480" w:firstLineChars="200"/>
        <w:jc w:val="left"/>
        <w:rPr>
          <w:rFonts w:hint="default"/>
          <w:b/>
          <w:sz w:val="24"/>
          <w:woUserID w:val="1"/>
        </w:rPr>
      </w:pPr>
      <w:r>
        <w:rPr>
          <w:rFonts w:hint="eastAsia"/>
          <w:b/>
          <w:sz w:val="24"/>
        </w:rPr>
        <w:t>一、登录方式</w:t>
      </w:r>
      <w:r>
        <w:rPr>
          <w:rFonts w:hint="default"/>
          <w:b/>
          <w:sz w:val="24"/>
          <w:woUserID w:val="1"/>
        </w:rPr>
        <w:t xml:space="preserve"> </w:t>
      </w:r>
      <w:bookmarkStart w:id="0" w:name="_GoBack"/>
      <w:bookmarkEnd w:id="0"/>
    </w:p>
    <w:p>
      <w:pPr>
        <w:pStyle w:val="9"/>
        <w:spacing w:line="360" w:lineRule="auto"/>
        <w:ind w:firstLine="480"/>
        <w:jc w:val="left"/>
        <w:rPr>
          <w:sz w:val="24"/>
        </w:rPr>
      </w:pPr>
      <w:r>
        <w:rPr>
          <w:rFonts w:hint="eastAsia"/>
          <w:sz w:val="24"/>
        </w:rPr>
        <w:t>1.通过访问学校主站</w:t>
      </w:r>
      <w:r>
        <w:fldChar w:fldCharType="begin"/>
      </w:r>
      <w:r>
        <w:instrText xml:space="preserve"> HYPERLINK "http://www.qzc.edu.cn" </w:instrText>
      </w:r>
      <w:r>
        <w:fldChar w:fldCharType="separate"/>
      </w:r>
      <w:r>
        <w:rPr>
          <w:rStyle w:val="7"/>
          <w:rFonts w:hint="eastAsia"/>
          <w:sz w:val="24"/>
        </w:rPr>
        <w:t>www.qzc.edu.cn</w:t>
      </w:r>
      <w:r>
        <w:rPr>
          <w:rStyle w:val="7"/>
          <w:rFonts w:hint="eastAsia"/>
          <w:sz w:val="24"/>
        </w:rPr>
        <w:fldChar w:fldCharType="end"/>
      </w:r>
      <w:r>
        <w:rPr>
          <w:rFonts w:hint="eastAsia"/>
          <w:sz w:val="24"/>
        </w:rPr>
        <w:t>，选择</w:t>
      </w:r>
      <w:r>
        <w:rPr>
          <w:rFonts w:hint="eastAsia"/>
          <w:b/>
          <w:color w:val="0070C0"/>
          <w:sz w:val="24"/>
        </w:rPr>
        <w:t>网络服务</w:t>
      </w:r>
      <w:r>
        <w:rPr>
          <w:rFonts w:hint="eastAsia"/>
          <w:sz w:val="24"/>
        </w:rPr>
        <w:t>板块中的</w:t>
      </w:r>
      <w:r>
        <w:rPr>
          <w:rFonts w:hint="eastAsia"/>
          <w:b/>
          <w:color w:val="0070C0"/>
          <w:sz w:val="24"/>
        </w:rPr>
        <w:t>服务大厅</w:t>
      </w:r>
      <w:r>
        <w:rPr>
          <w:rFonts w:hint="eastAsia"/>
          <w:sz w:val="24"/>
        </w:rPr>
        <w:t>，通过账号或者微信、钉钉扫一扫的方式登录，见下图。</w:t>
      </w:r>
    </w:p>
    <w:p>
      <w:pPr>
        <w:jc w:val="center"/>
      </w:pPr>
      <w:r>
        <w:drawing>
          <wp:inline distT="0" distB="0" distL="0" distR="0">
            <wp:extent cx="5274310" cy="5518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t="843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9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 主站入口界面</w:t>
      </w:r>
    </w:p>
    <w:p>
      <w:pPr>
        <w:jc w:val="center"/>
      </w:pPr>
      <w:r>
        <w:drawing>
          <wp:inline distT="0" distB="0" distL="0" distR="0">
            <wp:extent cx="2364105" cy="23799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7508" cy="238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 登录界面</w:t>
      </w:r>
    </w:p>
    <w:p>
      <w:pPr>
        <w:pStyle w:val="9"/>
        <w:spacing w:line="360" w:lineRule="auto"/>
        <w:ind w:firstLine="480"/>
        <w:jc w:val="left"/>
        <w:rPr>
          <w:sz w:val="24"/>
        </w:rPr>
      </w:pPr>
      <w:r>
        <w:rPr>
          <w:rFonts w:hint="eastAsia"/>
          <w:sz w:val="24"/>
        </w:rPr>
        <w:t>2.钉钉登录（PC端和移动端相同）</w:t>
      </w:r>
    </w:p>
    <w:p>
      <w:pPr>
        <w:pStyle w:val="9"/>
        <w:spacing w:line="360" w:lineRule="auto"/>
        <w:ind w:firstLine="480"/>
        <w:jc w:val="left"/>
        <w:rPr>
          <w:sz w:val="24"/>
        </w:rPr>
      </w:pPr>
      <w:r>
        <w:rPr>
          <w:rFonts w:hint="eastAsia"/>
          <w:sz w:val="24"/>
        </w:rPr>
        <w:t>通过钉钉工作台服务大厅板块的</w:t>
      </w:r>
      <w:r>
        <w:rPr>
          <w:rFonts w:hint="eastAsia"/>
          <w:b/>
          <w:color w:val="0070C0"/>
          <w:sz w:val="24"/>
        </w:rPr>
        <w:t>一网通</w:t>
      </w:r>
      <w:r>
        <w:rPr>
          <w:rFonts w:hint="eastAsia"/>
          <w:sz w:val="24"/>
        </w:rPr>
        <w:t>免密登录。</w:t>
      </w:r>
    </w:p>
    <w:p>
      <w:pPr>
        <w:jc w:val="center"/>
      </w:pPr>
      <w:r>
        <w:drawing>
          <wp:inline distT="0" distB="0" distL="0" distR="0">
            <wp:extent cx="3723005" cy="26346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4747" cy="263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 钉钉登录方式</w:t>
      </w:r>
    </w:p>
    <w:p>
      <w:pPr>
        <w:pStyle w:val="9"/>
        <w:spacing w:line="360" w:lineRule="auto"/>
        <w:ind w:firstLine="482"/>
        <w:jc w:val="left"/>
        <w:rPr>
          <w:b/>
          <w:sz w:val="24"/>
        </w:rPr>
      </w:pPr>
      <w:r>
        <w:rPr>
          <w:rFonts w:hint="eastAsia"/>
          <w:b/>
          <w:sz w:val="24"/>
        </w:rPr>
        <w:t>二、主要功能和板块使用介绍</w:t>
      </w:r>
    </w:p>
    <w:p>
      <w:pPr>
        <w:pStyle w:val="9"/>
        <w:spacing w:line="360" w:lineRule="auto"/>
        <w:ind w:firstLine="480"/>
        <w:jc w:val="left"/>
        <w:rPr>
          <w:sz w:val="24"/>
        </w:rPr>
      </w:pPr>
      <w:r>
        <w:rPr>
          <w:rFonts w:hint="eastAsia"/>
          <w:sz w:val="24"/>
        </w:rPr>
        <w:t>目前服务大厅包含个人中心、服务中心、业务直通车和统计查询四个板块，页面效果如图4所示。</w:t>
      </w:r>
    </w:p>
    <w:p>
      <w:pPr>
        <w:jc w:val="left"/>
        <w:rPr>
          <w:b/>
        </w:rPr>
      </w:pPr>
      <w:r>
        <w:drawing>
          <wp:inline distT="0" distB="0" distL="0" distR="0">
            <wp:extent cx="5274310" cy="46621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图4 服务大厅主界面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jc w:val="left"/>
        <w:rPr>
          <w:b/>
          <w:sz w:val="24"/>
        </w:rPr>
      </w:pPr>
      <w:r>
        <w:rPr>
          <w:rFonts w:hint="eastAsia"/>
          <w:b/>
          <w:sz w:val="24"/>
        </w:rPr>
        <w:t>个人中心主要功能及使用说明</w:t>
      </w:r>
    </w:p>
    <w:p>
      <w:pPr>
        <w:pStyle w:val="9"/>
        <w:spacing w:line="360" w:lineRule="auto"/>
        <w:ind w:firstLine="480"/>
        <w:jc w:val="left"/>
        <w:rPr>
          <w:sz w:val="24"/>
        </w:rPr>
      </w:pPr>
      <w:r>
        <w:rPr>
          <w:rFonts w:hint="eastAsia"/>
          <w:sz w:val="24"/>
        </w:rPr>
        <w:t>（1）个人卡片包含个人工资和一卡通相关信息。学校文件、校内通知、公示公告和校园动态均可利用“更多”按钮获取更多资讯信息。通讯录查询可以查看学校教职工办公地点和电话信息。</w:t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5274310" cy="15049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图5 个人中心截图一</w:t>
      </w:r>
    </w:p>
    <w:p>
      <w:pPr>
        <w:pStyle w:val="9"/>
        <w:spacing w:line="360" w:lineRule="auto"/>
        <w:ind w:firstLine="480"/>
        <w:jc w:val="left"/>
        <w:rPr>
          <w:sz w:val="24"/>
        </w:rPr>
      </w:pPr>
      <w:r>
        <w:rPr>
          <w:rFonts w:hint="eastAsia"/>
          <w:sz w:val="24"/>
        </w:rPr>
        <w:t>（2）我的服务和推荐服务</w:t>
      </w:r>
    </w:p>
    <w:p>
      <w:pPr>
        <w:pStyle w:val="9"/>
        <w:spacing w:line="360" w:lineRule="auto"/>
        <w:ind w:firstLine="480"/>
        <w:jc w:val="left"/>
        <w:rPr>
          <w:sz w:val="24"/>
        </w:rPr>
      </w:pPr>
      <w:r>
        <w:rPr>
          <w:rFonts w:hint="eastAsia"/>
          <w:sz w:val="24"/>
        </w:rPr>
        <w:t>用户可通过“</w:t>
      </w:r>
      <w:r>
        <w:rPr>
          <w:rFonts w:hint="eastAsia"/>
          <w:b/>
          <w:color w:val="0070C0"/>
          <w:sz w:val="24"/>
        </w:rPr>
        <w:t>我的服务</w:t>
      </w:r>
      <w:r>
        <w:rPr>
          <w:rFonts w:hint="eastAsia"/>
          <w:sz w:val="24"/>
        </w:rPr>
        <w:t>”右侧的</w:t>
      </w:r>
      <w:r>
        <w:rPr>
          <w:rFonts w:hint="eastAsia"/>
          <w:b/>
          <w:color w:val="0070C0"/>
          <w:sz w:val="24"/>
        </w:rPr>
        <w:t>设置</w:t>
      </w:r>
      <w:r>
        <w:rPr>
          <w:rFonts w:hint="eastAsia"/>
          <w:sz w:val="24"/>
        </w:rPr>
        <w:t>按钮收藏个人常用的一些服务和审批事项，具体方法见图6。添加删除事项可利用设置界面的</w:t>
      </w:r>
      <w:r>
        <w:rPr>
          <w:rFonts w:hint="eastAsia"/>
          <w:b/>
          <w:color w:val="0070C0"/>
          <w:sz w:val="24"/>
        </w:rPr>
        <w:t>+、-按钮</w:t>
      </w:r>
      <w:r>
        <w:rPr>
          <w:rFonts w:hint="eastAsia"/>
          <w:sz w:val="24"/>
        </w:rPr>
        <w:t>，具体见图7。</w:t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5262245" cy="106235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b="203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50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jc w:val="center"/>
      </w:pPr>
      <w:r>
        <w:rPr>
          <w:rFonts w:hint="eastAsia"/>
        </w:rPr>
        <w:t>图6 我的服务选项卡信息</w:t>
      </w:r>
    </w:p>
    <w:p>
      <w:pPr>
        <w:spacing w:line="360" w:lineRule="auto"/>
        <w:jc w:val="left"/>
        <w:rPr>
          <w:sz w:val="24"/>
        </w:rPr>
      </w:pPr>
      <w:r>
        <w:drawing>
          <wp:inline distT="0" distB="0" distL="0" distR="0">
            <wp:extent cx="5274310" cy="33159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图7 我的服务设置界面</w:t>
      </w:r>
    </w:p>
    <w:p>
      <w:pPr>
        <w:pStyle w:val="9"/>
        <w:spacing w:line="360" w:lineRule="auto"/>
        <w:ind w:firstLine="480"/>
        <w:jc w:val="left"/>
        <w:rPr>
          <w:sz w:val="24"/>
        </w:rPr>
      </w:pPr>
      <w:r>
        <w:rPr>
          <w:rFonts w:hint="eastAsia"/>
          <w:sz w:val="24"/>
        </w:rPr>
        <w:t>（3）常用链接</w:t>
      </w:r>
    </w:p>
    <w:p>
      <w:pPr>
        <w:pStyle w:val="9"/>
        <w:spacing w:line="360" w:lineRule="auto"/>
        <w:ind w:firstLine="480"/>
        <w:jc w:val="left"/>
        <w:rPr>
          <w:sz w:val="24"/>
        </w:rPr>
      </w:pPr>
      <w:r>
        <w:rPr>
          <w:rFonts w:hint="eastAsia"/>
          <w:sz w:val="24"/>
        </w:rPr>
        <w:t>常用链接栏目里面</w:t>
      </w:r>
      <w:r>
        <w:rPr>
          <w:rFonts w:hint="eastAsia"/>
          <w:b/>
          <w:color w:val="0070C0"/>
          <w:sz w:val="24"/>
        </w:rPr>
        <w:t>学校文件</w:t>
      </w:r>
      <w:r>
        <w:rPr>
          <w:rFonts w:hint="eastAsia"/>
          <w:sz w:val="24"/>
        </w:rPr>
        <w:t>可以查询学校历年文件，另外可以查看一周会议、值班安排等信息。后台管理用于管理员上传学校文件信息。</w:t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2059305" cy="151701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2705" cy="151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图8 常用链接界面</w:t>
      </w:r>
    </w:p>
    <w:p>
      <w:pPr>
        <w:pStyle w:val="9"/>
        <w:spacing w:line="360" w:lineRule="auto"/>
        <w:ind w:firstLine="480"/>
        <w:jc w:val="left"/>
        <w:rPr>
          <w:sz w:val="24"/>
        </w:rPr>
      </w:pPr>
      <w:r>
        <w:rPr>
          <w:rFonts w:hint="eastAsia"/>
          <w:sz w:val="24"/>
        </w:rPr>
        <w:t>（4）待办和已办事项</w:t>
      </w:r>
    </w:p>
    <w:p>
      <w:pPr>
        <w:pStyle w:val="9"/>
        <w:spacing w:line="360" w:lineRule="auto"/>
        <w:ind w:firstLine="480"/>
        <w:jc w:val="left"/>
        <w:rPr>
          <w:sz w:val="24"/>
        </w:rPr>
      </w:pPr>
      <w:r>
        <w:rPr>
          <w:rFonts w:hint="eastAsia"/>
          <w:sz w:val="24"/>
        </w:rPr>
        <w:t>用户个人提交的和审批的服务事项展示在此页面，可通过右侧的</w:t>
      </w:r>
      <w:r>
        <w:rPr>
          <w:rFonts w:hint="eastAsia"/>
          <w:b/>
          <w:color w:val="0070C0"/>
          <w:sz w:val="24"/>
        </w:rPr>
        <w:t>待办</w:t>
      </w:r>
      <w:r>
        <w:rPr>
          <w:rFonts w:hint="eastAsia"/>
          <w:sz w:val="24"/>
        </w:rPr>
        <w:t>、</w:t>
      </w:r>
      <w:r>
        <w:rPr>
          <w:rFonts w:hint="eastAsia"/>
          <w:b/>
          <w:color w:val="0070C0"/>
          <w:sz w:val="24"/>
        </w:rPr>
        <w:t>已办</w:t>
      </w:r>
      <w:r>
        <w:rPr>
          <w:rFonts w:hint="eastAsia"/>
          <w:sz w:val="24"/>
        </w:rPr>
        <w:t>选项进行切换。</w:t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5274310" cy="15163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</w:rPr>
      </w:pPr>
      <w:r>
        <w:rPr>
          <w:rFonts w:hint="eastAsia"/>
        </w:rPr>
        <w:t>图9 待办、已办审批事项界面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jc w:val="left"/>
        <w:rPr>
          <w:b/>
          <w:sz w:val="24"/>
        </w:rPr>
      </w:pPr>
      <w:r>
        <w:rPr>
          <w:rFonts w:hint="eastAsia"/>
          <w:b/>
          <w:sz w:val="24"/>
        </w:rPr>
        <w:t>服务中心主要功能及使用说明</w:t>
      </w:r>
    </w:p>
    <w:p>
      <w:pPr>
        <w:pStyle w:val="9"/>
        <w:spacing w:line="360" w:lineRule="auto"/>
        <w:ind w:firstLine="480"/>
        <w:jc w:val="left"/>
        <w:rPr>
          <w:sz w:val="24"/>
        </w:rPr>
      </w:pPr>
      <w:r>
        <w:rPr>
          <w:rFonts w:hint="eastAsia"/>
          <w:sz w:val="24"/>
        </w:rPr>
        <w:t>服务中心板块主要是面向教职工、在校生、校友和游客等四类用户提供各类审批和服务事项，具体界面如图10所示。用户类型可通过顶部标题名称进行切换，如图11。</w:t>
      </w:r>
    </w:p>
    <w:p>
      <w:pPr>
        <w:spacing w:line="360" w:lineRule="auto"/>
        <w:jc w:val="left"/>
        <w:rPr>
          <w:b/>
          <w:sz w:val="24"/>
        </w:rPr>
      </w:pPr>
      <w:r>
        <w:drawing>
          <wp:inline distT="0" distB="0" distL="0" distR="0">
            <wp:extent cx="5274310" cy="34690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图10 服务中心界面</w:t>
      </w:r>
    </w:p>
    <w:p>
      <w:pPr>
        <w:spacing w:line="360" w:lineRule="auto"/>
        <w:jc w:val="center"/>
        <w:rPr>
          <w:b/>
          <w:sz w:val="24"/>
        </w:rPr>
      </w:pPr>
      <w:r>
        <w:drawing>
          <wp:inline distT="0" distB="0" distL="0" distR="0">
            <wp:extent cx="3344545" cy="5270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44562" cy="52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图11 用户类型切换方式</w:t>
      </w:r>
    </w:p>
    <w:p>
      <w:pPr>
        <w:pStyle w:val="9"/>
        <w:spacing w:line="360" w:lineRule="auto"/>
        <w:ind w:firstLine="480"/>
        <w:jc w:val="left"/>
        <w:rPr>
          <w:sz w:val="24"/>
        </w:rPr>
      </w:pPr>
      <w:r>
        <w:rPr>
          <w:rFonts w:hint="eastAsia"/>
          <w:sz w:val="24"/>
        </w:rPr>
        <w:t>服务中心默认显示全部服务信息，用户可以根据</w:t>
      </w:r>
      <w:r>
        <w:rPr>
          <w:rFonts w:hint="eastAsia"/>
          <w:b/>
          <w:color w:val="0070C0"/>
          <w:sz w:val="24"/>
        </w:rPr>
        <w:t>受理部门</w:t>
      </w:r>
      <w:r>
        <w:rPr>
          <w:rFonts w:hint="eastAsia"/>
          <w:sz w:val="24"/>
        </w:rPr>
        <w:t>选择所需的部门选项，找到对应的审批事项，单击</w:t>
      </w:r>
      <w:r>
        <w:rPr>
          <w:rFonts w:hint="eastAsia"/>
          <w:b/>
          <w:color w:val="0070C0"/>
          <w:sz w:val="24"/>
        </w:rPr>
        <w:t>线上办理</w:t>
      </w:r>
      <w:r>
        <w:rPr>
          <w:rFonts w:hint="eastAsia"/>
          <w:sz w:val="24"/>
        </w:rPr>
        <w:t>即可发起审批，如图12所示。服务事项可以列表形式展现，可通过首字母进行筛选。</w:t>
      </w:r>
    </w:p>
    <w:p>
      <w:pPr>
        <w:spacing w:line="360" w:lineRule="auto"/>
        <w:jc w:val="center"/>
        <w:rPr>
          <w:b/>
          <w:sz w:val="24"/>
        </w:rPr>
      </w:pPr>
      <w:r>
        <w:drawing>
          <wp:inline distT="0" distB="0" distL="0" distR="0">
            <wp:extent cx="5041265" cy="2707005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216" cy="270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图12 部门服务事项展示页面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jc w:val="left"/>
        <w:rPr>
          <w:b/>
          <w:sz w:val="24"/>
        </w:rPr>
      </w:pPr>
      <w:r>
        <w:rPr>
          <w:b/>
          <w:sz w:val="24"/>
        </w:rPr>
        <w:t>业务直通车</w:t>
      </w:r>
      <w:r>
        <w:rPr>
          <w:rFonts w:hint="eastAsia"/>
          <w:b/>
          <w:sz w:val="24"/>
        </w:rPr>
        <w:t>主要功能及使用说明</w:t>
      </w:r>
    </w:p>
    <w:p>
      <w:pPr>
        <w:spacing w:line="360" w:lineRule="auto"/>
        <w:ind w:firstLine="480" w:firstLineChars="200"/>
        <w:jc w:val="left"/>
        <w:rPr>
          <w:b/>
          <w:color w:val="0070C0"/>
          <w:sz w:val="24"/>
        </w:rPr>
      </w:pPr>
      <w:r>
        <w:rPr>
          <w:rFonts w:hint="eastAsia"/>
          <w:sz w:val="24"/>
        </w:rPr>
        <w:t>业务直通车以分类形式列出了师生常用的各项业务系统，页面信息见图13，用户单击对应图标即可对各系统进行使用。</w:t>
      </w:r>
      <w:r>
        <w:rPr>
          <w:rFonts w:hint="eastAsia"/>
          <w:b/>
          <w:color w:val="0070C0"/>
          <w:sz w:val="24"/>
        </w:rPr>
        <w:t>（温馨提示：校外需先登录VPN，再通过服务大厅访问校内各业务系统。）</w:t>
      </w:r>
    </w:p>
    <w:p>
      <w:pPr>
        <w:spacing w:line="360" w:lineRule="auto"/>
        <w:jc w:val="center"/>
        <w:rPr>
          <w:b/>
          <w:sz w:val="24"/>
        </w:rPr>
      </w:pPr>
      <w:r>
        <w:drawing>
          <wp:inline distT="0" distB="0" distL="0" distR="0">
            <wp:extent cx="4860290" cy="335851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65513" cy="336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图13 业务直通车展示页面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jc w:val="left"/>
        <w:rPr>
          <w:b/>
          <w:sz w:val="24"/>
        </w:rPr>
      </w:pPr>
      <w:r>
        <w:rPr>
          <w:b/>
          <w:sz w:val="24"/>
        </w:rPr>
        <w:t>统计查询主要功能</w:t>
      </w:r>
    </w:p>
    <w:p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目前统计查询主要针对服务事项质量分析信息进行统计展示，今后会逐步扩充查询内容。</w:t>
      </w:r>
    </w:p>
    <w:p>
      <w:pPr>
        <w:jc w:val="center"/>
        <w:rPr>
          <w:b/>
          <w:sz w:val="24"/>
        </w:rPr>
      </w:pPr>
      <w:r>
        <w:drawing>
          <wp:inline distT="0" distB="0" distL="0" distR="0">
            <wp:extent cx="4547235" cy="2814320"/>
            <wp:effectExtent l="0" t="0" r="5715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2846" cy="281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图14 统计查询展示页面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hint="eastAsia"/>
          <w:b/>
          <w:sz w:val="32"/>
        </w:rPr>
      </w:pPr>
      <w:r>
        <w:rPr>
          <w:rFonts w:hint="eastAsia"/>
          <w:b/>
          <w:sz w:val="24"/>
        </w:rPr>
        <w:t>其他功能</w:t>
      </w:r>
    </w:p>
    <w:p>
      <w:pPr>
        <w:spacing w:line="360" w:lineRule="auto"/>
        <w:ind w:firstLine="480" w:firstLineChars="200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（1）显示风格</w:t>
      </w:r>
    </w:p>
    <w:p>
      <w:pPr>
        <w:spacing w:line="360" w:lineRule="auto"/>
        <w:ind w:left="482"/>
        <w:rPr>
          <w:rFonts w:hint="eastAsia"/>
          <w:sz w:val="24"/>
        </w:rPr>
      </w:pPr>
      <w:r>
        <w:rPr>
          <w:rFonts w:hint="eastAsia"/>
          <w:sz w:val="24"/>
        </w:rPr>
        <w:t>通过右侧皮肤下拉菜单选择所需的风格样式即可，如图15所示。</w:t>
      </w:r>
    </w:p>
    <w:p>
      <w:pPr>
        <w:jc w:val="center"/>
        <w:rPr>
          <w:rFonts w:hint="eastAsia"/>
          <w:b/>
          <w:sz w:val="24"/>
        </w:rPr>
      </w:pPr>
      <w:r>
        <w:drawing>
          <wp:inline distT="0" distB="0" distL="0" distR="0">
            <wp:extent cx="4606290" cy="1045845"/>
            <wp:effectExtent l="0" t="0" r="381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rcRect b="9286"/>
                    <a:stretch>
                      <a:fillRect/>
                    </a:stretch>
                  </pic:blipFill>
                  <pic:spPr>
                    <a:xfrm>
                      <a:off x="0" y="0"/>
                      <a:ext cx="4621431" cy="10495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图15 显示风格切换页面</w:t>
      </w:r>
    </w:p>
    <w:p>
      <w:pPr>
        <w:spacing w:line="360" w:lineRule="auto"/>
        <w:ind w:firstLine="480" w:firstLineChars="200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（2）安全中心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用户可通过安全中心对登录密码、手机绑定/解绑、邮箱绑定和密保进行设置，进入方式和页面效果见图16和图17。</w:t>
      </w:r>
    </w:p>
    <w:p>
      <w:pPr>
        <w:jc w:val="center"/>
        <w:rPr>
          <w:rFonts w:hint="eastAsia"/>
          <w:b/>
          <w:sz w:val="24"/>
        </w:rPr>
      </w:pPr>
      <w:r>
        <w:drawing>
          <wp:inline distT="0" distB="0" distL="0" distR="0">
            <wp:extent cx="895350" cy="110299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6507" cy="110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sz w:val="24"/>
        </w:rPr>
      </w:pPr>
      <w:r>
        <w:rPr>
          <w:rFonts w:hint="eastAsia"/>
        </w:rPr>
        <w:t>图16 安全中心进入方式</w:t>
      </w:r>
    </w:p>
    <w:p>
      <w:pPr>
        <w:spacing w:line="360" w:lineRule="auto"/>
        <w:jc w:val="center"/>
        <w:rPr>
          <w:rFonts w:hint="eastAsia"/>
          <w:b/>
          <w:sz w:val="24"/>
        </w:rPr>
      </w:pPr>
      <w:r>
        <w:drawing>
          <wp:inline distT="0" distB="0" distL="0" distR="0">
            <wp:extent cx="4077335" cy="2986405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80753" cy="298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/>
          <w:sz w:val="24"/>
        </w:rPr>
      </w:pPr>
      <w:r>
        <w:rPr>
          <w:rFonts w:hint="eastAsia"/>
        </w:rPr>
        <w:t>图17 安全中心页面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DejaVa San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2183E"/>
    <w:multiLevelType w:val="multilevel"/>
    <w:tmpl w:val="38C2183E"/>
    <w:lvl w:ilvl="0" w:tentative="0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2" w:hanging="420"/>
      </w:pPr>
    </w:lvl>
    <w:lvl w:ilvl="2" w:tentative="0">
      <w:start w:val="1"/>
      <w:numFmt w:val="lowerRoman"/>
      <w:lvlText w:val="%3."/>
      <w:lvlJc w:val="right"/>
      <w:pPr>
        <w:ind w:left="1742" w:hanging="420"/>
      </w:pPr>
    </w:lvl>
    <w:lvl w:ilvl="3" w:tentative="0">
      <w:start w:val="1"/>
      <w:numFmt w:val="decimal"/>
      <w:lvlText w:val="%4."/>
      <w:lvlJc w:val="left"/>
      <w:pPr>
        <w:ind w:left="2162" w:hanging="420"/>
      </w:pPr>
    </w:lvl>
    <w:lvl w:ilvl="4" w:tentative="0">
      <w:start w:val="1"/>
      <w:numFmt w:val="lowerLetter"/>
      <w:lvlText w:val="%5)"/>
      <w:lvlJc w:val="left"/>
      <w:pPr>
        <w:ind w:left="2582" w:hanging="420"/>
      </w:pPr>
    </w:lvl>
    <w:lvl w:ilvl="5" w:tentative="0">
      <w:start w:val="1"/>
      <w:numFmt w:val="lowerRoman"/>
      <w:lvlText w:val="%6."/>
      <w:lvlJc w:val="right"/>
      <w:pPr>
        <w:ind w:left="3002" w:hanging="420"/>
      </w:pPr>
    </w:lvl>
    <w:lvl w:ilvl="6" w:tentative="0">
      <w:start w:val="1"/>
      <w:numFmt w:val="decimal"/>
      <w:lvlText w:val="%7."/>
      <w:lvlJc w:val="left"/>
      <w:pPr>
        <w:ind w:left="3422" w:hanging="420"/>
      </w:pPr>
    </w:lvl>
    <w:lvl w:ilvl="7" w:tentative="0">
      <w:start w:val="1"/>
      <w:numFmt w:val="lowerLetter"/>
      <w:lvlText w:val="%8)"/>
      <w:lvlJc w:val="left"/>
      <w:pPr>
        <w:ind w:left="3842" w:hanging="420"/>
      </w:pPr>
    </w:lvl>
    <w:lvl w:ilvl="8" w:tentative="0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BA2"/>
    <w:rsid w:val="00001464"/>
    <w:rsid w:val="00001656"/>
    <w:rsid w:val="00001F32"/>
    <w:rsid w:val="0000672A"/>
    <w:rsid w:val="00024316"/>
    <w:rsid w:val="00026E19"/>
    <w:rsid w:val="00033A2F"/>
    <w:rsid w:val="0003569F"/>
    <w:rsid w:val="0003603A"/>
    <w:rsid w:val="000415F6"/>
    <w:rsid w:val="000604AB"/>
    <w:rsid w:val="00070C1B"/>
    <w:rsid w:val="0007276C"/>
    <w:rsid w:val="00072815"/>
    <w:rsid w:val="00082478"/>
    <w:rsid w:val="0009676C"/>
    <w:rsid w:val="000F3BE6"/>
    <w:rsid w:val="001047DE"/>
    <w:rsid w:val="001064BF"/>
    <w:rsid w:val="00132C30"/>
    <w:rsid w:val="00133D1C"/>
    <w:rsid w:val="0013451D"/>
    <w:rsid w:val="00151521"/>
    <w:rsid w:val="00161187"/>
    <w:rsid w:val="001611EF"/>
    <w:rsid w:val="0016188C"/>
    <w:rsid w:val="0016285D"/>
    <w:rsid w:val="001862AF"/>
    <w:rsid w:val="00186D4C"/>
    <w:rsid w:val="00194802"/>
    <w:rsid w:val="001A4980"/>
    <w:rsid w:val="001B5A69"/>
    <w:rsid w:val="001B7006"/>
    <w:rsid w:val="001C30C7"/>
    <w:rsid w:val="001C5FE6"/>
    <w:rsid w:val="001D4AC1"/>
    <w:rsid w:val="001D5F6A"/>
    <w:rsid w:val="001F37B4"/>
    <w:rsid w:val="00220B47"/>
    <w:rsid w:val="0023331D"/>
    <w:rsid w:val="002414DD"/>
    <w:rsid w:val="00243015"/>
    <w:rsid w:val="0024308A"/>
    <w:rsid w:val="00266F9A"/>
    <w:rsid w:val="00267E3D"/>
    <w:rsid w:val="002A5F96"/>
    <w:rsid w:val="002A61BB"/>
    <w:rsid w:val="002A6F7A"/>
    <w:rsid w:val="002B463D"/>
    <w:rsid w:val="002B5EE0"/>
    <w:rsid w:val="002C65F4"/>
    <w:rsid w:val="002D04D5"/>
    <w:rsid w:val="002F2701"/>
    <w:rsid w:val="002F44F2"/>
    <w:rsid w:val="00320F75"/>
    <w:rsid w:val="003575E1"/>
    <w:rsid w:val="00375745"/>
    <w:rsid w:val="0038042F"/>
    <w:rsid w:val="00381429"/>
    <w:rsid w:val="00381CB2"/>
    <w:rsid w:val="003917DE"/>
    <w:rsid w:val="00396FDE"/>
    <w:rsid w:val="003A1136"/>
    <w:rsid w:val="003A52F2"/>
    <w:rsid w:val="003D0286"/>
    <w:rsid w:val="003D4459"/>
    <w:rsid w:val="003D7483"/>
    <w:rsid w:val="003E29E1"/>
    <w:rsid w:val="003F1401"/>
    <w:rsid w:val="003F73AA"/>
    <w:rsid w:val="00412115"/>
    <w:rsid w:val="00417EBC"/>
    <w:rsid w:val="00426273"/>
    <w:rsid w:val="004306D1"/>
    <w:rsid w:val="0044063D"/>
    <w:rsid w:val="00465CA3"/>
    <w:rsid w:val="004A1910"/>
    <w:rsid w:val="004C2D2E"/>
    <w:rsid w:val="004D0D9A"/>
    <w:rsid w:val="004F2B6D"/>
    <w:rsid w:val="004F4383"/>
    <w:rsid w:val="004F4911"/>
    <w:rsid w:val="0051293C"/>
    <w:rsid w:val="005167B0"/>
    <w:rsid w:val="00526447"/>
    <w:rsid w:val="00546713"/>
    <w:rsid w:val="00556E56"/>
    <w:rsid w:val="0058644C"/>
    <w:rsid w:val="00590D17"/>
    <w:rsid w:val="005B1B00"/>
    <w:rsid w:val="005B21DF"/>
    <w:rsid w:val="005D2A85"/>
    <w:rsid w:val="005D37C7"/>
    <w:rsid w:val="005E04B9"/>
    <w:rsid w:val="005E0B72"/>
    <w:rsid w:val="006004DC"/>
    <w:rsid w:val="00602944"/>
    <w:rsid w:val="00603363"/>
    <w:rsid w:val="00624D12"/>
    <w:rsid w:val="0062622B"/>
    <w:rsid w:val="0063687B"/>
    <w:rsid w:val="00641572"/>
    <w:rsid w:val="00641D67"/>
    <w:rsid w:val="00645D66"/>
    <w:rsid w:val="00646D74"/>
    <w:rsid w:val="00647A2B"/>
    <w:rsid w:val="006530EE"/>
    <w:rsid w:val="006636D8"/>
    <w:rsid w:val="006670F5"/>
    <w:rsid w:val="00670343"/>
    <w:rsid w:val="0067049A"/>
    <w:rsid w:val="00671251"/>
    <w:rsid w:val="00692044"/>
    <w:rsid w:val="00695357"/>
    <w:rsid w:val="006A1753"/>
    <w:rsid w:val="006C2383"/>
    <w:rsid w:val="006D5F95"/>
    <w:rsid w:val="006E287E"/>
    <w:rsid w:val="006E49D5"/>
    <w:rsid w:val="006E568B"/>
    <w:rsid w:val="006E5B56"/>
    <w:rsid w:val="006F0F05"/>
    <w:rsid w:val="006F2C8C"/>
    <w:rsid w:val="006F2C9B"/>
    <w:rsid w:val="006F30F9"/>
    <w:rsid w:val="00713F20"/>
    <w:rsid w:val="00717162"/>
    <w:rsid w:val="00736421"/>
    <w:rsid w:val="00765EDA"/>
    <w:rsid w:val="00776260"/>
    <w:rsid w:val="007859FB"/>
    <w:rsid w:val="00797DD9"/>
    <w:rsid w:val="007B2B15"/>
    <w:rsid w:val="007B3754"/>
    <w:rsid w:val="007E6693"/>
    <w:rsid w:val="007E7BA2"/>
    <w:rsid w:val="00800BCB"/>
    <w:rsid w:val="00804E1A"/>
    <w:rsid w:val="008113CD"/>
    <w:rsid w:val="00825669"/>
    <w:rsid w:val="00841345"/>
    <w:rsid w:val="008614FE"/>
    <w:rsid w:val="0086254D"/>
    <w:rsid w:val="00867B4B"/>
    <w:rsid w:val="008732FA"/>
    <w:rsid w:val="008742DF"/>
    <w:rsid w:val="00881130"/>
    <w:rsid w:val="00895036"/>
    <w:rsid w:val="008A66FE"/>
    <w:rsid w:val="008B5716"/>
    <w:rsid w:val="008C3E41"/>
    <w:rsid w:val="008C6453"/>
    <w:rsid w:val="008D1798"/>
    <w:rsid w:val="008D726E"/>
    <w:rsid w:val="008E630C"/>
    <w:rsid w:val="008E7173"/>
    <w:rsid w:val="008F5D7C"/>
    <w:rsid w:val="00907F4E"/>
    <w:rsid w:val="00912429"/>
    <w:rsid w:val="00946EF2"/>
    <w:rsid w:val="00955283"/>
    <w:rsid w:val="00966168"/>
    <w:rsid w:val="009A4A3C"/>
    <w:rsid w:val="009A5B61"/>
    <w:rsid w:val="009B5D25"/>
    <w:rsid w:val="009B6156"/>
    <w:rsid w:val="009D259F"/>
    <w:rsid w:val="009D4E80"/>
    <w:rsid w:val="009E3DDC"/>
    <w:rsid w:val="00A253DE"/>
    <w:rsid w:val="00A25403"/>
    <w:rsid w:val="00A354AD"/>
    <w:rsid w:val="00A51FF4"/>
    <w:rsid w:val="00A748B3"/>
    <w:rsid w:val="00A83B7B"/>
    <w:rsid w:val="00A961A5"/>
    <w:rsid w:val="00AA59BA"/>
    <w:rsid w:val="00AB1639"/>
    <w:rsid w:val="00AC11C5"/>
    <w:rsid w:val="00AC1F55"/>
    <w:rsid w:val="00AE27AB"/>
    <w:rsid w:val="00AE74BB"/>
    <w:rsid w:val="00AF7B93"/>
    <w:rsid w:val="00B160E7"/>
    <w:rsid w:val="00B17D7A"/>
    <w:rsid w:val="00B27BD9"/>
    <w:rsid w:val="00B3567C"/>
    <w:rsid w:val="00B610CF"/>
    <w:rsid w:val="00B645B6"/>
    <w:rsid w:val="00B718C2"/>
    <w:rsid w:val="00B84291"/>
    <w:rsid w:val="00B847F7"/>
    <w:rsid w:val="00BA765E"/>
    <w:rsid w:val="00BB176E"/>
    <w:rsid w:val="00BE092C"/>
    <w:rsid w:val="00BE2FAC"/>
    <w:rsid w:val="00C2680D"/>
    <w:rsid w:val="00C31A68"/>
    <w:rsid w:val="00C33632"/>
    <w:rsid w:val="00C33711"/>
    <w:rsid w:val="00C46484"/>
    <w:rsid w:val="00C57EB5"/>
    <w:rsid w:val="00C60965"/>
    <w:rsid w:val="00C6202F"/>
    <w:rsid w:val="00C6434D"/>
    <w:rsid w:val="00C7265A"/>
    <w:rsid w:val="00CA03BC"/>
    <w:rsid w:val="00CB6EC6"/>
    <w:rsid w:val="00CC1D7C"/>
    <w:rsid w:val="00CC43AA"/>
    <w:rsid w:val="00CF2A13"/>
    <w:rsid w:val="00CF4F31"/>
    <w:rsid w:val="00D121B6"/>
    <w:rsid w:val="00D47510"/>
    <w:rsid w:val="00D811A7"/>
    <w:rsid w:val="00D87A24"/>
    <w:rsid w:val="00D905C6"/>
    <w:rsid w:val="00D938E5"/>
    <w:rsid w:val="00D94919"/>
    <w:rsid w:val="00DC0BB5"/>
    <w:rsid w:val="00DE45C6"/>
    <w:rsid w:val="00DE5EC5"/>
    <w:rsid w:val="00E00551"/>
    <w:rsid w:val="00E14D51"/>
    <w:rsid w:val="00E176BA"/>
    <w:rsid w:val="00E30482"/>
    <w:rsid w:val="00E41BDD"/>
    <w:rsid w:val="00E46206"/>
    <w:rsid w:val="00E50681"/>
    <w:rsid w:val="00E6216C"/>
    <w:rsid w:val="00E62F62"/>
    <w:rsid w:val="00E650CF"/>
    <w:rsid w:val="00E6722C"/>
    <w:rsid w:val="00E6758C"/>
    <w:rsid w:val="00E67A13"/>
    <w:rsid w:val="00EA792B"/>
    <w:rsid w:val="00EB0B01"/>
    <w:rsid w:val="00EB7801"/>
    <w:rsid w:val="00EC5BAA"/>
    <w:rsid w:val="00EC67F3"/>
    <w:rsid w:val="00EC7C1E"/>
    <w:rsid w:val="00EF23FF"/>
    <w:rsid w:val="00EF370C"/>
    <w:rsid w:val="00F117FA"/>
    <w:rsid w:val="00F36A25"/>
    <w:rsid w:val="00F4462D"/>
    <w:rsid w:val="00F50288"/>
    <w:rsid w:val="00F53412"/>
    <w:rsid w:val="00F73A08"/>
    <w:rsid w:val="00F77E4F"/>
    <w:rsid w:val="00F842C8"/>
    <w:rsid w:val="00F84E67"/>
    <w:rsid w:val="00F94A61"/>
    <w:rsid w:val="00FB1CE4"/>
    <w:rsid w:val="00FC2345"/>
    <w:rsid w:val="00FD646F"/>
    <w:rsid w:val="00FE2C84"/>
    <w:rsid w:val="00FF33FC"/>
    <w:rsid w:val="00FF51C5"/>
    <w:rsid w:val="751F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qzxy</Company>
  <Pages>7</Pages>
  <Words>178</Words>
  <Characters>1021</Characters>
  <Lines>8</Lines>
  <Paragraphs>2</Paragraphs>
  <TotalTime>483</TotalTime>
  <ScaleCrop>false</ScaleCrop>
  <LinksUpToDate>false</LinksUpToDate>
  <CharactersWithSpaces>1197</CharactersWithSpaces>
  <Application>WWO_aliyun_20200917065353-4d1be1b22b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2020-09-28T08:43:00Z</dcterms:created>
  <dc:creator>范伟</dc:creator>
  <cp:lastModifiedBy>范伟</cp:lastModifiedBy>
  <dcterms:modified xsi:type="dcterms:W3CDTF">2020-10-05T15:48:45Z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